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2AC" w:rsidRPr="004D0007" w:rsidRDefault="004D0007" w:rsidP="00DE04F3">
      <w:pPr>
        <w:pStyle w:val="Heading1"/>
      </w:pPr>
      <w:bookmarkStart w:id="0" w:name="_GoBack"/>
      <w:bookmarkEnd w:id="0"/>
      <w:r w:rsidRPr="004D0007">
        <w:t xml:space="preserve">Elements for FGP </w:t>
      </w:r>
      <w:r w:rsidR="001E4264" w:rsidRPr="004D0007">
        <w:t>Portfolio Review</w:t>
      </w:r>
      <w:r w:rsidR="004422A7">
        <w:t xml:space="preserve"> on Multi Stakeholder Initiatives</w:t>
      </w:r>
      <w:r w:rsidRPr="004D0007">
        <w:t xml:space="preserve"> – </w:t>
      </w:r>
      <w:r w:rsidR="006C2F3E">
        <w:t>Nove</w:t>
      </w:r>
      <w:r w:rsidR="00915F67">
        <w:t>mber 10</w:t>
      </w:r>
      <w:r w:rsidR="006C2F3E">
        <w:t>, 2015</w:t>
      </w:r>
      <w:r w:rsidRPr="004D0007">
        <w:t xml:space="preserve"> </w:t>
      </w:r>
    </w:p>
    <w:tbl>
      <w:tblPr>
        <w:tblStyle w:val="LightShading-Accent1"/>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9"/>
        <w:gridCol w:w="1012"/>
        <w:gridCol w:w="7628"/>
        <w:gridCol w:w="2609"/>
      </w:tblGrid>
      <w:tr w:rsidR="00D27489" w:rsidRPr="004D0007" w:rsidTr="00D274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 w:type="pct"/>
            <w:tcBorders>
              <w:top w:val="none" w:sz="0" w:space="0" w:color="auto"/>
              <w:left w:val="none" w:sz="0" w:space="0" w:color="auto"/>
              <w:bottom w:val="none" w:sz="0" w:space="0" w:color="auto"/>
              <w:right w:val="none" w:sz="0" w:space="0" w:color="auto"/>
            </w:tcBorders>
          </w:tcPr>
          <w:p w:rsidR="00915F67" w:rsidRPr="00070A8C" w:rsidRDefault="00915F67" w:rsidP="006C2F3E">
            <w:pPr>
              <w:jc w:val="center"/>
              <w:rPr>
                <w:rFonts w:ascii="Tw Cen MT" w:hAnsi="Tw Cen MT"/>
                <w:b w:val="0"/>
                <w:sz w:val="32"/>
                <w:szCs w:val="32"/>
              </w:rPr>
            </w:pPr>
            <w:r>
              <w:rPr>
                <w:rFonts w:ascii="Tw Cen MT" w:hAnsi="Tw Cen MT"/>
                <w:b w:val="0"/>
                <w:sz w:val="32"/>
                <w:szCs w:val="32"/>
              </w:rPr>
              <w:t>MSI</w:t>
            </w:r>
          </w:p>
        </w:tc>
        <w:tc>
          <w:tcPr>
            <w:tcW w:w="360" w:type="pct"/>
            <w:tcBorders>
              <w:top w:val="none" w:sz="0" w:space="0" w:color="auto"/>
              <w:left w:val="none" w:sz="0" w:space="0" w:color="auto"/>
              <w:bottom w:val="none" w:sz="0" w:space="0" w:color="auto"/>
              <w:right w:val="none" w:sz="0" w:space="0" w:color="auto"/>
            </w:tcBorders>
          </w:tcPr>
          <w:p w:rsidR="00915F67" w:rsidRPr="00070A8C" w:rsidRDefault="00915F67" w:rsidP="00D05CFE">
            <w:pPr>
              <w:jc w:val="center"/>
              <w:cnfStyle w:val="100000000000" w:firstRow="1" w:lastRow="0" w:firstColumn="0" w:lastColumn="0" w:oddVBand="0" w:evenVBand="0" w:oddHBand="0" w:evenHBand="0" w:firstRowFirstColumn="0" w:firstRowLastColumn="0" w:lastRowFirstColumn="0" w:lastRowLastColumn="0"/>
              <w:rPr>
                <w:rFonts w:ascii="Tw Cen MT" w:hAnsi="Tw Cen MT"/>
                <w:b w:val="0"/>
                <w:sz w:val="32"/>
                <w:szCs w:val="32"/>
              </w:rPr>
            </w:pPr>
            <w:r w:rsidRPr="00070A8C">
              <w:rPr>
                <w:rFonts w:ascii="Tw Cen MT" w:hAnsi="Tw Cen MT"/>
                <w:b w:val="0"/>
                <w:sz w:val="32"/>
                <w:szCs w:val="32"/>
              </w:rPr>
              <w:t>Type</w:t>
            </w:r>
          </w:p>
        </w:tc>
        <w:tc>
          <w:tcPr>
            <w:tcW w:w="2713" w:type="pct"/>
            <w:tcBorders>
              <w:top w:val="none" w:sz="0" w:space="0" w:color="auto"/>
              <w:left w:val="none" w:sz="0" w:space="0" w:color="auto"/>
              <w:bottom w:val="none" w:sz="0" w:space="0" w:color="auto"/>
              <w:right w:val="none" w:sz="0" w:space="0" w:color="auto"/>
            </w:tcBorders>
          </w:tcPr>
          <w:p w:rsidR="00915F67" w:rsidRPr="00070A8C" w:rsidRDefault="00915F67" w:rsidP="00D05CFE">
            <w:pPr>
              <w:jc w:val="center"/>
              <w:cnfStyle w:val="100000000000" w:firstRow="1" w:lastRow="0" w:firstColumn="0" w:lastColumn="0" w:oddVBand="0" w:evenVBand="0" w:oddHBand="0" w:evenHBand="0" w:firstRowFirstColumn="0" w:firstRowLastColumn="0" w:lastRowFirstColumn="0" w:lastRowLastColumn="0"/>
              <w:rPr>
                <w:rFonts w:ascii="Tw Cen MT" w:hAnsi="Tw Cen MT"/>
                <w:b w:val="0"/>
                <w:sz w:val="32"/>
                <w:szCs w:val="32"/>
              </w:rPr>
            </w:pPr>
            <w:r w:rsidRPr="00070A8C">
              <w:rPr>
                <w:rFonts w:ascii="Tw Cen MT" w:hAnsi="Tw Cen MT"/>
                <w:b w:val="0"/>
                <w:sz w:val="32"/>
                <w:szCs w:val="32"/>
              </w:rPr>
              <w:t>Description</w:t>
            </w:r>
            <w:r>
              <w:rPr>
                <w:rFonts w:ascii="Tw Cen MT" w:hAnsi="Tw Cen MT"/>
                <w:b w:val="0"/>
                <w:sz w:val="32"/>
                <w:szCs w:val="32"/>
              </w:rPr>
              <w:t xml:space="preserve"> of Support</w:t>
            </w:r>
          </w:p>
        </w:tc>
        <w:tc>
          <w:tcPr>
            <w:tcW w:w="928" w:type="pct"/>
            <w:tcBorders>
              <w:top w:val="none" w:sz="0" w:space="0" w:color="auto"/>
              <w:left w:val="none" w:sz="0" w:space="0" w:color="auto"/>
              <w:bottom w:val="none" w:sz="0" w:space="0" w:color="auto"/>
              <w:right w:val="none" w:sz="0" w:space="0" w:color="auto"/>
            </w:tcBorders>
          </w:tcPr>
          <w:p w:rsidR="00915F67" w:rsidRPr="00070A8C" w:rsidRDefault="00915F67" w:rsidP="00D05CFE">
            <w:pPr>
              <w:jc w:val="center"/>
              <w:cnfStyle w:val="100000000000" w:firstRow="1" w:lastRow="0" w:firstColumn="0" w:lastColumn="0" w:oddVBand="0" w:evenVBand="0" w:oddHBand="0" w:evenHBand="0" w:firstRowFirstColumn="0" w:firstRowLastColumn="0" w:lastRowFirstColumn="0" w:lastRowLastColumn="0"/>
              <w:rPr>
                <w:rFonts w:ascii="Tw Cen MT" w:hAnsi="Tw Cen MT"/>
                <w:b w:val="0"/>
                <w:sz w:val="32"/>
                <w:szCs w:val="32"/>
              </w:rPr>
            </w:pPr>
            <w:r w:rsidRPr="00070A8C">
              <w:rPr>
                <w:rFonts w:ascii="Tw Cen MT" w:hAnsi="Tw Cen MT"/>
                <w:b w:val="0"/>
                <w:sz w:val="32"/>
                <w:szCs w:val="32"/>
              </w:rPr>
              <w:t>Term</w:t>
            </w:r>
            <w:r>
              <w:rPr>
                <w:rFonts w:ascii="Tw Cen MT" w:hAnsi="Tw Cen MT"/>
                <w:b w:val="0"/>
                <w:sz w:val="32"/>
                <w:szCs w:val="32"/>
              </w:rPr>
              <w:t>/Amount</w:t>
            </w:r>
            <w:r w:rsidRPr="00070A8C">
              <w:rPr>
                <w:rFonts w:ascii="Tw Cen MT" w:hAnsi="Tw Cen MT"/>
                <w:b w:val="0"/>
                <w:sz w:val="32"/>
                <w:szCs w:val="32"/>
              </w:rPr>
              <w:t xml:space="preserve"> </w:t>
            </w:r>
          </w:p>
        </w:tc>
      </w:tr>
      <w:tr w:rsidR="00D27489" w:rsidRPr="004D0007" w:rsidTr="00D274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tcBorders>
              <w:left w:val="none" w:sz="0" w:space="0" w:color="auto"/>
              <w:right w:val="none" w:sz="0" w:space="0" w:color="auto"/>
            </w:tcBorders>
            <w:shd w:val="clear" w:color="auto" w:fill="BFBFBF" w:themeFill="background1" w:themeFillShade="BF"/>
          </w:tcPr>
          <w:p w:rsidR="00D27489" w:rsidRPr="00070A8C" w:rsidRDefault="00D27489" w:rsidP="00D27489">
            <w:pPr>
              <w:rPr>
                <w:rFonts w:ascii="Tw Cen MT" w:hAnsi="Tw Cen MT"/>
                <w:sz w:val="32"/>
                <w:szCs w:val="32"/>
              </w:rPr>
            </w:pPr>
            <w:r>
              <w:rPr>
                <w:rFonts w:ascii="Tw Cen MT" w:hAnsi="Tw Cen MT"/>
                <w:b w:val="0"/>
                <w:sz w:val="32"/>
                <w:szCs w:val="32"/>
              </w:rPr>
              <w:t xml:space="preserve">Direct MSI Grants </w:t>
            </w:r>
          </w:p>
        </w:tc>
      </w:tr>
      <w:tr w:rsidR="00D27489" w:rsidRPr="004D0007" w:rsidTr="00D27489">
        <w:tc>
          <w:tcPr>
            <w:cnfStyle w:val="001000000000" w:firstRow="0" w:lastRow="0" w:firstColumn="1" w:lastColumn="0" w:oddVBand="0" w:evenVBand="0" w:oddHBand="0" w:evenHBand="0" w:firstRowFirstColumn="0" w:firstRowLastColumn="0" w:lastRowFirstColumn="0" w:lastRowLastColumn="0"/>
            <w:tcW w:w="999" w:type="pct"/>
          </w:tcPr>
          <w:p w:rsidR="00915F67" w:rsidRPr="00B73A21" w:rsidRDefault="00915F67">
            <w:pPr>
              <w:rPr>
                <w:rFonts w:ascii="Tw Cen MT" w:hAnsi="Tw Cen MT"/>
              </w:rPr>
            </w:pPr>
            <w:r>
              <w:rPr>
                <w:rFonts w:ascii="Tw Cen MT" w:hAnsi="Tw Cen MT"/>
              </w:rPr>
              <w:t>Open Government Partnership Support Unit</w:t>
            </w:r>
          </w:p>
        </w:tc>
        <w:tc>
          <w:tcPr>
            <w:tcW w:w="360" w:type="pct"/>
          </w:tcPr>
          <w:p w:rsidR="00915F67" w:rsidRPr="00B73A21" w:rsidRDefault="00915F67" w:rsidP="00070A8C">
            <w:pPr>
              <w:cnfStyle w:val="000000000000" w:firstRow="0" w:lastRow="0" w:firstColumn="0" w:lastColumn="0" w:oddVBand="0" w:evenVBand="0" w:oddHBand="0" w:evenHBand="0" w:firstRowFirstColumn="0" w:firstRowLastColumn="0" w:lastRowFirstColumn="0" w:lastRowLastColumn="0"/>
              <w:rPr>
                <w:rFonts w:ascii="Tw Cen MT" w:hAnsi="Tw Cen MT"/>
              </w:rPr>
            </w:pPr>
            <w:r w:rsidRPr="00B73A21">
              <w:rPr>
                <w:rFonts w:ascii="Tw Cen MT" w:hAnsi="Tw Cen MT"/>
              </w:rPr>
              <w:t xml:space="preserve">General support </w:t>
            </w:r>
          </w:p>
        </w:tc>
        <w:tc>
          <w:tcPr>
            <w:tcW w:w="2713" w:type="pct"/>
          </w:tcPr>
          <w:p w:rsidR="00915F67" w:rsidRPr="00B73A21" w:rsidRDefault="00E66538" w:rsidP="00E66538">
            <w:pPr>
              <w:cnfStyle w:val="000000000000" w:firstRow="0" w:lastRow="0" w:firstColumn="0" w:lastColumn="0" w:oddVBand="0" w:evenVBand="0" w:oddHBand="0" w:evenHBand="0" w:firstRowFirstColumn="0" w:firstRowLastColumn="0" w:lastRowFirstColumn="0" w:lastRowLastColumn="0"/>
              <w:rPr>
                <w:rFonts w:ascii="Tw Cen MT" w:hAnsi="Tw Cen MT"/>
              </w:rPr>
            </w:pPr>
            <w:r>
              <w:t>To support implementation of new strategy, including tracking extent to which OGP is catalyzing real open-government reform in a significant number of OGP countries, and whether these changes are benefitting citizens.</w:t>
            </w:r>
          </w:p>
        </w:tc>
        <w:tc>
          <w:tcPr>
            <w:tcW w:w="928" w:type="pct"/>
          </w:tcPr>
          <w:p w:rsidR="00915F67" w:rsidRPr="00B73A21" w:rsidRDefault="00915F67" w:rsidP="00803114">
            <w:pPr>
              <w:cnfStyle w:val="000000000000" w:firstRow="0" w:lastRow="0" w:firstColumn="0" w:lastColumn="0" w:oddVBand="0" w:evenVBand="0" w:oddHBand="0" w:evenHBand="0" w:firstRowFirstColumn="0" w:firstRowLastColumn="0" w:lastRowFirstColumn="0" w:lastRowLastColumn="0"/>
              <w:rPr>
                <w:rFonts w:ascii="Tw Cen MT" w:hAnsi="Tw Cen MT"/>
              </w:rPr>
            </w:pPr>
            <w:r>
              <w:rPr>
                <w:rFonts w:ascii="Tw Cen MT" w:hAnsi="Tw Cen MT"/>
              </w:rPr>
              <w:t>$1.8 million since 2013; most recently a 2 year, $1 million grant for 2015-16</w:t>
            </w:r>
          </w:p>
        </w:tc>
      </w:tr>
      <w:tr w:rsidR="00D27489" w:rsidRPr="004D0007" w:rsidTr="00D274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 w:type="pct"/>
            <w:tcBorders>
              <w:left w:val="none" w:sz="0" w:space="0" w:color="auto"/>
              <w:right w:val="none" w:sz="0" w:space="0" w:color="auto"/>
            </w:tcBorders>
          </w:tcPr>
          <w:p w:rsidR="00915F67" w:rsidRPr="00B73A21" w:rsidRDefault="00915F67">
            <w:pPr>
              <w:rPr>
                <w:rFonts w:ascii="Tw Cen MT" w:hAnsi="Tw Cen MT"/>
              </w:rPr>
            </w:pPr>
            <w:r>
              <w:rPr>
                <w:rFonts w:ascii="Tw Cen MT" w:hAnsi="Tw Cen MT"/>
              </w:rPr>
              <w:t>OGP Civil Society Support Mechanism/Hivos</w:t>
            </w:r>
          </w:p>
        </w:tc>
        <w:tc>
          <w:tcPr>
            <w:tcW w:w="360" w:type="pct"/>
            <w:tcBorders>
              <w:left w:val="none" w:sz="0" w:space="0" w:color="auto"/>
              <w:right w:val="none" w:sz="0" w:space="0" w:color="auto"/>
            </w:tcBorders>
          </w:tcPr>
          <w:p w:rsidR="00915F67" w:rsidRPr="00B73A21" w:rsidRDefault="00915F67" w:rsidP="00070A8C">
            <w:pPr>
              <w:cnfStyle w:val="000000100000" w:firstRow="0" w:lastRow="0" w:firstColumn="0" w:lastColumn="0" w:oddVBand="0" w:evenVBand="0" w:oddHBand="1" w:evenHBand="0" w:firstRowFirstColumn="0" w:firstRowLastColumn="0" w:lastRowFirstColumn="0" w:lastRowLastColumn="0"/>
              <w:rPr>
                <w:rFonts w:ascii="Tw Cen MT" w:hAnsi="Tw Cen MT"/>
              </w:rPr>
            </w:pPr>
            <w:r>
              <w:rPr>
                <w:rFonts w:ascii="Tw Cen MT" w:hAnsi="Tw Cen MT"/>
              </w:rPr>
              <w:t xml:space="preserve">Program </w:t>
            </w:r>
            <w:r w:rsidRPr="00B73A21">
              <w:rPr>
                <w:rFonts w:ascii="Tw Cen MT" w:hAnsi="Tw Cen MT"/>
              </w:rPr>
              <w:t>support</w:t>
            </w:r>
          </w:p>
        </w:tc>
        <w:tc>
          <w:tcPr>
            <w:tcW w:w="2713" w:type="pct"/>
            <w:tcBorders>
              <w:left w:val="none" w:sz="0" w:space="0" w:color="auto"/>
              <w:right w:val="none" w:sz="0" w:space="0" w:color="auto"/>
            </w:tcBorders>
          </w:tcPr>
          <w:p w:rsidR="00915F67" w:rsidRPr="00B73A21" w:rsidRDefault="00E66538" w:rsidP="00E66538">
            <w:pPr>
              <w:cnfStyle w:val="000000100000" w:firstRow="0" w:lastRow="0" w:firstColumn="0" w:lastColumn="0" w:oddVBand="0" w:evenVBand="0" w:oddHBand="1" w:evenHBand="0" w:firstRowFirstColumn="0" w:firstRowLastColumn="0" w:lastRowFirstColumn="0" w:lastRowLastColumn="0"/>
              <w:rPr>
                <w:rFonts w:ascii="Tw Cen MT" w:hAnsi="Tw Cen MT"/>
              </w:rPr>
            </w:pPr>
            <w:r>
              <w:t xml:space="preserve">To support a civil society coordination mechanism intended to support network building, implementation monitoring, and policy advocacy among local and international civil society participating in OGP.   </w:t>
            </w:r>
          </w:p>
        </w:tc>
        <w:tc>
          <w:tcPr>
            <w:tcW w:w="928" w:type="pct"/>
            <w:tcBorders>
              <w:left w:val="none" w:sz="0" w:space="0" w:color="auto"/>
              <w:right w:val="none" w:sz="0" w:space="0" w:color="auto"/>
            </w:tcBorders>
          </w:tcPr>
          <w:p w:rsidR="00915F67" w:rsidRPr="00B73A21" w:rsidRDefault="00915F67" w:rsidP="00FA22CD">
            <w:pPr>
              <w:cnfStyle w:val="000000100000" w:firstRow="0" w:lastRow="0" w:firstColumn="0" w:lastColumn="0" w:oddVBand="0" w:evenVBand="0" w:oddHBand="1" w:evenHBand="0" w:firstRowFirstColumn="0" w:firstRowLastColumn="0" w:lastRowFirstColumn="0" w:lastRowLastColumn="0"/>
              <w:rPr>
                <w:rFonts w:ascii="Tw Cen MT" w:hAnsi="Tw Cen MT"/>
              </w:rPr>
            </w:pPr>
            <w:r>
              <w:rPr>
                <w:rFonts w:ascii="Tw Cen MT" w:hAnsi="Tw Cen MT"/>
              </w:rPr>
              <w:t>$200,000 for 2013-14</w:t>
            </w:r>
          </w:p>
        </w:tc>
      </w:tr>
      <w:tr w:rsidR="00D27489" w:rsidRPr="004D0007" w:rsidTr="00D27489">
        <w:trPr>
          <w:trHeight w:val="1033"/>
        </w:trPr>
        <w:tc>
          <w:tcPr>
            <w:cnfStyle w:val="001000000000" w:firstRow="0" w:lastRow="0" w:firstColumn="1" w:lastColumn="0" w:oddVBand="0" w:evenVBand="0" w:oddHBand="0" w:evenHBand="0" w:firstRowFirstColumn="0" w:firstRowLastColumn="0" w:lastRowFirstColumn="0" w:lastRowLastColumn="0"/>
            <w:tcW w:w="999" w:type="pct"/>
          </w:tcPr>
          <w:p w:rsidR="00915F67" w:rsidRPr="00B73A21" w:rsidRDefault="00915F67">
            <w:pPr>
              <w:rPr>
                <w:rFonts w:ascii="Tw Cen MT" w:hAnsi="Tw Cen MT"/>
              </w:rPr>
            </w:pPr>
            <w:r>
              <w:rPr>
                <w:rFonts w:ascii="Tw Cen MT" w:hAnsi="Tw Cen MT"/>
              </w:rPr>
              <w:t>Open Contracting Partnership Secretariat</w:t>
            </w:r>
          </w:p>
        </w:tc>
        <w:tc>
          <w:tcPr>
            <w:tcW w:w="360" w:type="pct"/>
          </w:tcPr>
          <w:p w:rsidR="00915F67" w:rsidRPr="00B73A21" w:rsidRDefault="00915F67" w:rsidP="00070A8C">
            <w:pPr>
              <w:cnfStyle w:val="000000000000" w:firstRow="0" w:lastRow="0" w:firstColumn="0" w:lastColumn="0" w:oddVBand="0" w:evenVBand="0" w:oddHBand="0" w:evenHBand="0" w:firstRowFirstColumn="0" w:firstRowLastColumn="0" w:lastRowFirstColumn="0" w:lastRowLastColumn="0"/>
              <w:rPr>
                <w:rFonts w:ascii="Tw Cen MT" w:hAnsi="Tw Cen MT"/>
              </w:rPr>
            </w:pPr>
            <w:r w:rsidRPr="00B73A21">
              <w:rPr>
                <w:rFonts w:ascii="Tw Cen MT" w:hAnsi="Tw Cen MT"/>
              </w:rPr>
              <w:t>General Support</w:t>
            </w:r>
          </w:p>
        </w:tc>
        <w:tc>
          <w:tcPr>
            <w:tcW w:w="2713" w:type="pct"/>
          </w:tcPr>
          <w:p w:rsidR="00915F67" w:rsidRPr="00B73A21" w:rsidRDefault="00E66538" w:rsidP="003D5283">
            <w:pPr>
              <w:cnfStyle w:val="000000000000" w:firstRow="0" w:lastRow="0" w:firstColumn="0" w:lastColumn="0" w:oddVBand="0" w:evenVBand="0" w:oddHBand="0" w:evenHBand="0" w:firstRowFirstColumn="0" w:firstRowLastColumn="0" w:lastRowFirstColumn="0" w:lastRowLastColumn="0"/>
              <w:rPr>
                <w:rFonts w:ascii="Tw Cen MT" w:hAnsi="Tw Cen MT"/>
              </w:rPr>
            </w:pPr>
            <w:r>
              <w:t xml:space="preserve">To support a looser collaborative effort through which government and non-government stakeholders collaborate to advance a new global norm of openness around government contracting.  </w:t>
            </w:r>
          </w:p>
        </w:tc>
        <w:tc>
          <w:tcPr>
            <w:tcW w:w="928" w:type="pct"/>
          </w:tcPr>
          <w:p w:rsidR="00915F67" w:rsidRPr="00B73A21" w:rsidRDefault="00915F67" w:rsidP="00FA22CD">
            <w:pPr>
              <w:cnfStyle w:val="000000000000" w:firstRow="0" w:lastRow="0" w:firstColumn="0" w:lastColumn="0" w:oddVBand="0" w:evenVBand="0" w:oddHBand="0" w:evenHBand="0" w:firstRowFirstColumn="0" w:firstRowLastColumn="0" w:lastRowFirstColumn="0" w:lastRowLastColumn="0"/>
              <w:rPr>
                <w:rFonts w:ascii="Tw Cen MT" w:hAnsi="Tw Cen MT"/>
              </w:rPr>
            </w:pPr>
            <w:r>
              <w:rPr>
                <w:rFonts w:ascii="Tw Cen MT" w:hAnsi="Tw Cen MT"/>
              </w:rPr>
              <w:t>Initial support for $200,000 for 2015</w:t>
            </w:r>
          </w:p>
        </w:tc>
      </w:tr>
      <w:tr w:rsidR="00D27489" w:rsidRPr="004D0007" w:rsidTr="00D2748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5000" w:type="pct"/>
            <w:gridSpan w:val="4"/>
            <w:tcBorders>
              <w:left w:val="none" w:sz="0" w:space="0" w:color="auto"/>
              <w:right w:val="none" w:sz="0" w:space="0" w:color="auto"/>
            </w:tcBorders>
            <w:shd w:val="clear" w:color="auto" w:fill="BFBFBF" w:themeFill="background1" w:themeFillShade="BF"/>
          </w:tcPr>
          <w:p w:rsidR="00D27489" w:rsidRDefault="00D27489" w:rsidP="00FA22CD">
            <w:pPr>
              <w:rPr>
                <w:rFonts w:ascii="Tw Cen MT" w:hAnsi="Tw Cen MT"/>
              </w:rPr>
            </w:pPr>
            <w:r w:rsidRPr="00D27489">
              <w:rPr>
                <w:rFonts w:ascii="Tw Cen MT" w:hAnsi="Tw Cen MT"/>
                <w:b w:val="0"/>
                <w:sz w:val="32"/>
                <w:szCs w:val="32"/>
              </w:rPr>
              <w:t>Indirect MSI Grants (for EITI)</w:t>
            </w:r>
          </w:p>
        </w:tc>
      </w:tr>
      <w:tr w:rsidR="00D27489" w:rsidRPr="004D0007" w:rsidTr="00D27489">
        <w:tc>
          <w:tcPr>
            <w:cnfStyle w:val="001000000000" w:firstRow="0" w:lastRow="0" w:firstColumn="1" w:lastColumn="0" w:oddVBand="0" w:evenVBand="0" w:oddHBand="0" w:evenHBand="0" w:firstRowFirstColumn="0" w:firstRowLastColumn="0" w:lastRowFirstColumn="0" w:lastRowLastColumn="0"/>
            <w:tcW w:w="999" w:type="pct"/>
          </w:tcPr>
          <w:p w:rsidR="00915F67" w:rsidRPr="00B73A21" w:rsidRDefault="00915F67">
            <w:pPr>
              <w:rPr>
                <w:rFonts w:ascii="Tw Cen MT" w:hAnsi="Tw Cen MT"/>
              </w:rPr>
            </w:pPr>
            <w:r>
              <w:rPr>
                <w:rFonts w:ascii="Tw Cen MT" w:hAnsi="Tw Cen MT"/>
              </w:rPr>
              <w:t>Natural Resource Governance Institute</w:t>
            </w:r>
          </w:p>
        </w:tc>
        <w:tc>
          <w:tcPr>
            <w:tcW w:w="360" w:type="pct"/>
          </w:tcPr>
          <w:p w:rsidR="00915F67" w:rsidRPr="00B73A21" w:rsidRDefault="00915F67" w:rsidP="00070A8C">
            <w:pPr>
              <w:cnfStyle w:val="000000000000" w:firstRow="0" w:lastRow="0" w:firstColumn="0" w:lastColumn="0" w:oddVBand="0" w:evenVBand="0" w:oddHBand="0" w:evenHBand="0" w:firstRowFirstColumn="0" w:firstRowLastColumn="0" w:lastRowFirstColumn="0" w:lastRowLastColumn="0"/>
              <w:rPr>
                <w:rFonts w:ascii="Tw Cen MT" w:hAnsi="Tw Cen MT"/>
              </w:rPr>
            </w:pPr>
            <w:r w:rsidRPr="00B73A21">
              <w:rPr>
                <w:rFonts w:ascii="Tw Cen MT" w:hAnsi="Tw Cen MT"/>
              </w:rPr>
              <w:t xml:space="preserve">General Support </w:t>
            </w:r>
          </w:p>
        </w:tc>
        <w:tc>
          <w:tcPr>
            <w:tcW w:w="2713" w:type="pct"/>
          </w:tcPr>
          <w:p w:rsidR="00915F67" w:rsidRPr="00B73A21" w:rsidRDefault="00E66538" w:rsidP="00E66538">
            <w:pPr>
              <w:cnfStyle w:val="000000000000" w:firstRow="0" w:lastRow="0" w:firstColumn="0" w:lastColumn="0" w:oddVBand="0" w:evenVBand="0" w:oddHBand="0" w:evenHBand="0" w:firstRowFirstColumn="0" w:firstRowLastColumn="0" w:lastRowFirstColumn="0" w:lastRowLastColumn="0"/>
              <w:rPr>
                <w:rFonts w:ascii="Tw Cen MT" w:hAnsi="Tw Cen MT"/>
              </w:rPr>
            </w:pPr>
            <w:r>
              <w:rPr>
                <w:rFonts w:ascii="Tw Cen MT" w:hAnsi="Tw Cen MT"/>
              </w:rPr>
              <w:t xml:space="preserve">Part of general support to NRGI includes its </w:t>
            </w:r>
            <w:r>
              <w:t>involvement with</w:t>
            </w:r>
            <w:r w:rsidRPr="00E66538">
              <w:t xml:space="preserve"> Extractive Industries Transparency Initiative</w:t>
            </w:r>
            <w:r>
              <w:t xml:space="preserve"> (EITI) throughout the MSI’s history. NRGI sits on the EITI Governing Board as a civil society representative, it runs a large number of EITI capacity-building/training programs for civil society, media and parliamentarians, and it regularly conducts outreach with current and potential participating countries to strengthen their engagement with/performance in the initiative. </w:t>
            </w:r>
          </w:p>
        </w:tc>
        <w:tc>
          <w:tcPr>
            <w:tcW w:w="928" w:type="pct"/>
          </w:tcPr>
          <w:p w:rsidR="00915F67" w:rsidRPr="00B73A21" w:rsidRDefault="00915F67" w:rsidP="00915F67">
            <w:pPr>
              <w:cnfStyle w:val="000000000000" w:firstRow="0" w:lastRow="0" w:firstColumn="0" w:lastColumn="0" w:oddVBand="0" w:evenVBand="0" w:oddHBand="0" w:evenHBand="0" w:firstRowFirstColumn="0" w:firstRowLastColumn="0" w:lastRowFirstColumn="0" w:lastRowLastColumn="0"/>
              <w:rPr>
                <w:rFonts w:ascii="Tw Cen MT" w:hAnsi="Tw Cen MT"/>
              </w:rPr>
            </w:pPr>
            <w:r>
              <w:rPr>
                <w:rFonts w:ascii="Tw Cen MT" w:hAnsi="Tw Cen MT"/>
              </w:rPr>
              <w:t>Support over 10+ years; roughly $4.8 million per year since 2010</w:t>
            </w:r>
          </w:p>
        </w:tc>
      </w:tr>
      <w:tr w:rsidR="00D27489" w:rsidRPr="004D0007" w:rsidTr="00D274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 w:type="pct"/>
            <w:tcBorders>
              <w:left w:val="none" w:sz="0" w:space="0" w:color="auto"/>
              <w:right w:val="none" w:sz="0" w:space="0" w:color="auto"/>
            </w:tcBorders>
          </w:tcPr>
          <w:p w:rsidR="00915F67" w:rsidRDefault="00915F67">
            <w:pPr>
              <w:rPr>
                <w:rFonts w:ascii="Tw Cen MT" w:hAnsi="Tw Cen MT"/>
              </w:rPr>
            </w:pPr>
            <w:r>
              <w:rPr>
                <w:rFonts w:ascii="Tw Cen MT" w:hAnsi="Tw Cen MT"/>
              </w:rPr>
              <w:t>Publish What You Pay</w:t>
            </w:r>
          </w:p>
        </w:tc>
        <w:tc>
          <w:tcPr>
            <w:tcW w:w="360" w:type="pct"/>
            <w:tcBorders>
              <w:left w:val="none" w:sz="0" w:space="0" w:color="auto"/>
              <w:right w:val="none" w:sz="0" w:space="0" w:color="auto"/>
            </w:tcBorders>
          </w:tcPr>
          <w:p w:rsidR="00915F67" w:rsidRPr="00B73A21" w:rsidRDefault="00915F67" w:rsidP="00070A8C">
            <w:pPr>
              <w:cnfStyle w:val="000000100000" w:firstRow="0" w:lastRow="0" w:firstColumn="0" w:lastColumn="0" w:oddVBand="0" w:evenVBand="0" w:oddHBand="1" w:evenHBand="0" w:firstRowFirstColumn="0" w:firstRowLastColumn="0" w:lastRowFirstColumn="0" w:lastRowLastColumn="0"/>
              <w:rPr>
                <w:rFonts w:ascii="Tw Cen MT" w:hAnsi="Tw Cen MT"/>
              </w:rPr>
            </w:pPr>
            <w:r w:rsidRPr="00B73A21">
              <w:rPr>
                <w:rFonts w:ascii="Tw Cen MT" w:hAnsi="Tw Cen MT"/>
              </w:rPr>
              <w:t>General Support</w:t>
            </w:r>
          </w:p>
        </w:tc>
        <w:tc>
          <w:tcPr>
            <w:tcW w:w="2713" w:type="pct"/>
            <w:tcBorders>
              <w:left w:val="none" w:sz="0" w:space="0" w:color="auto"/>
              <w:right w:val="none" w:sz="0" w:space="0" w:color="auto"/>
            </w:tcBorders>
          </w:tcPr>
          <w:p w:rsidR="00915F67" w:rsidRPr="00B73A21" w:rsidRDefault="00E66538" w:rsidP="00E66538">
            <w:pPr>
              <w:cnfStyle w:val="000000100000" w:firstRow="0" w:lastRow="0" w:firstColumn="0" w:lastColumn="0" w:oddVBand="0" w:evenVBand="0" w:oddHBand="1" w:evenHBand="0" w:firstRowFirstColumn="0" w:firstRowLastColumn="0" w:lastRowFirstColumn="0" w:lastRowLastColumn="0"/>
              <w:rPr>
                <w:rFonts w:ascii="Tw Cen MT" w:hAnsi="Tw Cen MT"/>
              </w:rPr>
            </w:pPr>
            <w:r>
              <w:rPr>
                <w:rFonts w:ascii="Tw Cen MT" w:hAnsi="Tw Cen MT"/>
              </w:rPr>
              <w:t xml:space="preserve">Part of general support to PWYP includes its </w:t>
            </w:r>
            <w:r>
              <w:t xml:space="preserve">work to proselytize for EITI participation among civil society throughout the world and help encourage and support civil society to effectively participate in EITI in dozens of countries over the years. More recently, it has become a re-granting agent for donor funds (mainly World Bank) aimed at supporting civil society participation in EITI processes, particularly in Africa.  </w:t>
            </w:r>
          </w:p>
        </w:tc>
        <w:tc>
          <w:tcPr>
            <w:tcW w:w="928" w:type="pct"/>
            <w:tcBorders>
              <w:left w:val="none" w:sz="0" w:space="0" w:color="auto"/>
              <w:right w:val="none" w:sz="0" w:space="0" w:color="auto"/>
            </w:tcBorders>
          </w:tcPr>
          <w:p w:rsidR="00915F67" w:rsidRPr="00B73A21" w:rsidRDefault="00915F67" w:rsidP="00FA22CD">
            <w:pPr>
              <w:cnfStyle w:val="000000100000" w:firstRow="0" w:lastRow="0" w:firstColumn="0" w:lastColumn="0" w:oddVBand="0" w:evenVBand="0" w:oddHBand="1" w:evenHBand="0" w:firstRowFirstColumn="0" w:firstRowLastColumn="0" w:lastRowFirstColumn="0" w:lastRowLastColumn="0"/>
              <w:rPr>
                <w:rFonts w:ascii="Tw Cen MT" w:hAnsi="Tw Cen MT"/>
              </w:rPr>
            </w:pPr>
            <w:r>
              <w:rPr>
                <w:rFonts w:ascii="Tw Cen MT" w:hAnsi="Tw Cen MT"/>
              </w:rPr>
              <w:t>Roughly $550,000 per year mid-2000s through 2013; $700,000 per year between 2014-16</w:t>
            </w:r>
          </w:p>
        </w:tc>
      </w:tr>
      <w:tr w:rsidR="00D27489" w:rsidRPr="004D0007" w:rsidTr="00D27489">
        <w:tc>
          <w:tcPr>
            <w:cnfStyle w:val="001000000000" w:firstRow="0" w:lastRow="0" w:firstColumn="1" w:lastColumn="0" w:oddVBand="0" w:evenVBand="0" w:oddHBand="0" w:evenHBand="0" w:firstRowFirstColumn="0" w:firstRowLastColumn="0" w:lastRowFirstColumn="0" w:lastRowLastColumn="0"/>
            <w:tcW w:w="999" w:type="pct"/>
          </w:tcPr>
          <w:p w:rsidR="00915F67" w:rsidRDefault="00915F67">
            <w:pPr>
              <w:rPr>
                <w:rFonts w:ascii="Tw Cen MT" w:hAnsi="Tw Cen MT"/>
              </w:rPr>
            </w:pPr>
            <w:r>
              <w:rPr>
                <w:rFonts w:ascii="Tw Cen MT" w:hAnsi="Tw Cen MT"/>
              </w:rPr>
              <w:t>Global Witness</w:t>
            </w:r>
          </w:p>
        </w:tc>
        <w:tc>
          <w:tcPr>
            <w:tcW w:w="360" w:type="pct"/>
          </w:tcPr>
          <w:p w:rsidR="00915F67" w:rsidRPr="00B73A21" w:rsidRDefault="00915F67" w:rsidP="00070A8C">
            <w:pPr>
              <w:cnfStyle w:val="000000000000" w:firstRow="0" w:lastRow="0" w:firstColumn="0" w:lastColumn="0" w:oddVBand="0" w:evenVBand="0" w:oddHBand="0" w:evenHBand="0" w:firstRowFirstColumn="0" w:firstRowLastColumn="0" w:lastRowFirstColumn="0" w:lastRowLastColumn="0"/>
              <w:rPr>
                <w:rFonts w:ascii="Tw Cen MT" w:hAnsi="Tw Cen MT"/>
              </w:rPr>
            </w:pPr>
            <w:r w:rsidRPr="00B73A21">
              <w:rPr>
                <w:rFonts w:ascii="Tw Cen MT" w:hAnsi="Tw Cen MT"/>
              </w:rPr>
              <w:t>General Support</w:t>
            </w:r>
          </w:p>
        </w:tc>
        <w:tc>
          <w:tcPr>
            <w:tcW w:w="2713" w:type="pct"/>
          </w:tcPr>
          <w:p w:rsidR="00915F67" w:rsidRPr="00B73A21" w:rsidRDefault="00E66538" w:rsidP="00E66538">
            <w:pPr>
              <w:cnfStyle w:val="000000000000" w:firstRow="0" w:lastRow="0" w:firstColumn="0" w:lastColumn="0" w:oddVBand="0" w:evenVBand="0" w:oddHBand="0" w:evenHBand="0" w:firstRowFirstColumn="0" w:firstRowLastColumn="0" w:lastRowFirstColumn="0" w:lastRowLastColumn="0"/>
              <w:rPr>
                <w:rFonts w:ascii="Tw Cen MT" w:hAnsi="Tw Cen MT"/>
              </w:rPr>
            </w:pPr>
            <w:r>
              <w:rPr>
                <w:rFonts w:ascii="Tw Cen MT" w:hAnsi="Tw Cen MT"/>
              </w:rPr>
              <w:t xml:space="preserve">Part of general support to Global Witness includes its </w:t>
            </w:r>
            <w:r>
              <w:t>involvement with</w:t>
            </w:r>
            <w:r w:rsidRPr="00E66538">
              <w:t xml:space="preserve"> </w:t>
            </w:r>
            <w:r>
              <w:t>EITI throughout the MSI’s history. Global Witness has helped conceptualize the initiative with DFID in the early days, had a long time seat on the EITI Governing Board, and devoted substantial—but gradually decreasing—amount of advocacy attention to the effort.</w:t>
            </w:r>
          </w:p>
        </w:tc>
        <w:tc>
          <w:tcPr>
            <w:tcW w:w="928" w:type="pct"/>
          </w:tcPr>
          <w:p w:rsidR="00915F67" w:rsidRPr="00B73A21" w:rsidRDefault="00915F67" w:rsidP="00915F67">
            <w:pPr>
              <w:cnfStyle w:val="000000000000" w:firstRow="0" w:lastRow="0" w:firstColumn="0" w:lastColumn="0" w:oddVBand="0" w:evenVBand="0" w:oddHBand="0" w:evenHBand="0" w:firstRowFirstColumn="0" w:firstRowLastColumn="0" w:lastRowFirstColumn="0" w:lastRowLastColumn="0"/>
              <w:rPr>
                <w:rFonts w:ascii="Tw Cen MT" w:hAnsi="Tw Cen MT"/>
              </w:rPr>
            </w:pPr>
            <w:r>
              <w:rPr>
                <w:rFonts w:ascii="Tw Cen MT" w:hAnsi="Tw Cen MT"/>
              </w:rPr>
              <w:t>Support over 10+years; 2.374 million per year since 2013</w:t>
            </w:r>
          </w:p>
        </w:tc>
      </w:tr>
      <w:tr w:rsidR="00D27489" w:rsidRPr="004D0007" w:rsidTr="00D274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 w:type="pct"/>
            <w:tcBorders>
              <w:left w:val="none" w:sz="0" w:space="0" w:color="auto"/>
              <w:right w:val="none" w:sz="0" w:space="0" w:color="auto"/>
            </w:tcBorders>
          </w:tcPr>
          <w:p w:rsidR="00915F67" w:rsidRDefault="00915F67">
            <w:pPr>
              <w:rPr>
                <w:rFonts w:ascii="Tw Cen MT" w:hAnsi="Tw Cen MT"/>
              </w:rPr>
            </w:pPr>
            <w:r>
              <w:rPr>
                <w:rFonts w:ascii="Tw Cen MT" w:hAnsi="Tw Cen MT"/>
              </w:rPr>
              <w:t>MSI Integrity</w:t>
            </w:r>
          </w:p>
        </w:tc>
        <w:tc>
          <w:tcPr>
            <w:tcW w:w="360" w:type="pct"/>
            <w:tcBorders>
              <w:left w:val="none" w:sz="0" w:space="0" w:color="auto"/>
              <w:right w:val="none" w:sz="0" w:space="0" w:color="auto"/>
            </w:tcBorders>
          </w:tcPr>
          <w:p w:rsidR="00915F67" w:rsidRPr="00B73A21" w:rsidRDefault="00915F67" w:rsidP="00070A8C">
            <w:pPr>
              <w:cnfStyle w:val="000000100000" w:firstRow="0" w:lastRow="0" w:firstColumn="0" w:lastColumn="0" w:oddVBand="0" w:evenVBand="0" w:oddHBand="1" w:evenHBand="0" w:firstRowFirstColumn="0" w:firstRowLastColumn="0" w:lastRowFirstColumn="0" w:lastRowLastColumn="0"/>
              <w:rPr>
                <w:rFonts w:ascii="Tw Cen MT" w:hAnsi="Tw Cen MT"/>
              </w:rPr>
            </w:pPr>
            <w:r>
              <w:rPr>
                <w:rFonts w:ascii="Tw Cen MT" w:hAnsi="Tw Cen MT"/>
              </w:rPr>
              <w:t>Project Support</w:t>
            </w:r>
          </w:p>
        </w:tc>
        <w:tc>
          <w:tcPr>
            <w:tcW w:w="2713" w:type="pct"/>
            <w:tcBorders>
              <w:left w:val="none" w:sz="0" w:space="0" w:color="auto"/>
              <w:right w:val="none" w:sz="0" w:space="0" w:color="auto"/>
            </w:tcBorders>
          </w:tcPr>
          <w:p w:rsidR="00915F67" w:rsidRPr="00B73A21" w:rsidRDefault="00D27489" w:rsidP="00D27489">
            <w:pPr>
              <w:cnfStyle w:val="000000100000" w:firstRow="0" w:lastRow="0" w:firstColumn="0" w:lastColumn="0" w:oddVBand="0" w:evenVBand="0" w:oddHBand="1" w:evenHBand="0" w:firstRowFirstColumn="0" w:firstRowLastColumn="0" w:lastRowFirstColumn="0" w:lastRowLastColumn="0"/>
              <w:rPr>
                <w:rFonts w:ascii="Tw Cen MT" w:hAnsi="Tw Cen MT"/>
              </w:rPr>
            </w:pPr>
            <w:r>
              <w:t xml:space="preserve">Project support </w:t>
            </w:r>
            <w:r w:rsidRPr="00D27489">
              <w:t>to directly engage the boards/leadership of EITI as well as PWY</w:t>
            </w:r>
            <w:r>
              <w:t>P, OGP and other related actors</w:t>
            </w:r>
            <w:r w:rsidRPr="00D27489">
              <w:t xml:space="preserve"> on the findings of two recent MSI Integrity reports assessing EITI’s performance on human rights and governance concerns. </w:t>
            </w:r>
          </w:p>
        </w:tc>
        <w:tc>
          <w:tcPr>
            <w:tcW w:w="928" w:type="pct"/>
            <w:tcBorders>
              <w:left w:val="none" w:sz="0" w:space="0" w:color="auto"/>
              <w:right w:val="none" w:sz="0" w:space="0" w:color="auto"/>
            </w:tcBorders>
          </w:tcPr>
          <w:p w:rsidR="00915F67" w:rsidRPr="00B73A21" w:rsidRDefault="00915F67" w:rsidP="00FA22CD">
            <w:pPr>
              <w:cnfStyle w:val="000000100000" w:firstRow="0" w:lastRow="0" w:firstColumn="0" w:lastColumn="0" w:oddVBand="0" w:evenVBand="0" w:oddHBand="1" w:evenHBand="0" w:firstRowFirstColumn="0" w:firstRowLastColumn="0" w:lastRowFirstColumn="0" w:lastRowLastColumn="0"/>
              <w:rPr>
                <w:rFonts w:ascii="Tw Cen MT" w:hAnsi="Tw Cen MT"/>
              </w:rPr>
            </w:pPr>
            <w:r>
              <w:rPr>
                <w:rFonts w:ascii="Tw Cen MT" w:hAnsi="Tw Cen MT"/>
              </w:rPr>
              <w:t>$53,200 in 2015</w:t>
            </w:r>
          </w:p>
        </w:tc>
      </w:tr>
    </w:tbl>
    <w:p w:rsidR="00FA22CD" w:rsidRPr="004D0007" w:rsidRDefault="00FA22CD">
      <w:pPr>
        <w:rPr>
          <w:rFonts w:ascii="Tw Cen MT" w:hAnsi="Tw Cen MT"/>
          <w:sz w:val="24"/>
        </w:rPr>
      </w:pPr>
    </w:p>
    <w:sectPr w:rsidR="00FA22CD" w:rsidRPr="004D0007" w:rsidSect="00D27489">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A567C"/>
    <w:multiLevelType w:val="hybridMultilevel"/>
    <w:tmpl w:val="FAAE9608"/>
    <w:lvl w:ilvl="0" w:tplc="A328E788">
      <w:start w:val="1"/>
      <w:numFmt w:val="bullet"/>
      <w:lvlText w:val="-"/>
      <w:lvlJc w:val="left"/>
      <w:pPr>
        <w:ind w:left="720" w:hanging="360"/>
      </w:pPr>
      <w:rPr>
        <w:rFonts w:ascii="Tw Cen MT" w:eastAsiaTheme="minorHAnsi" w:hAnsi="Tw Cen M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264"/>
    <w:rsid w:val="00070A8C"/>
    <w:rsid w:val="001D333F"/>
    <w:rsid w:val="001E4264"/>
    <w:rsid w:val="003D5283"/>
    <w:rsid w:val="00440E54"/>
    <w:rsid w:val="004422A7"/>
    <w:rsid w:val="004D0007"/>
    <w:rsid w:val="005D4641"/>
    <w:rsid w:val="006C2F3E"/>
    <w:rsid w:val="007F07C2"/>
    <w:rsid w:val="00803114"/>
    <w:rsid w:val="00915F67"/>
    <w:rsid w:val="009B5F3C"/>
    <w:rsid w:val="00B20E8D"/>
    <w:rsid w:val="00B73A21"/>
    <w:rsid w:val="00CB3F82"/>
    <w:rsid w:val="00D05CFE"/>
    <w:rsid w:val="00D27489"/>
    <w:rsid w:val="00DE04F3"/>
    <w:rsid w:val="00E66538"/>
    <w:rsid w:val="00FA22CD"/>
    <w:rsid w:val="00FA3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E04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4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4D00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D0007"/>
    <w:rPr>
      <w:rFonts w:asciiTheme="majorHAnsi" w:eastAsiaTheme="majorEastAsia" w:hAnsiTheme="majorHAnsi" w:cstheme="majorBidi"/>
      <w:color w:val="17365D" w:themeColor="text2" w:themeShade="BF"/>
      <w:spacing w:val="5"/>
      <w:kern w:val="28"/>
      <w:sz w:val="52"/>
      <w:szCs w:val="52"/>
    </w:rPr>
  </w:style>
  <w:style w:type="table" w:styleId="LightShading-Accent1">
    <w:name w:val="Light Shading Accent 1"/>
    <w:basedOn w:val="TableNormal"/>
    <w:uiPriority w:val="60"/>
    <w:rsid w:val="00070A8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070A8C"/>
    <w:pPr>
      <w:ind w:left="720"/>
      <w:contextualSpacing/>
    </w:pPr>
  </w:style>
  <w:style w:type="character" w:styleId="CommentReference">
    <w:name w:val="annotation reference"/>
    <w:basedOn w:val="DefaultParagraphFont"/>
    <w:uiPriority w:val="99"/>
    <w:semiHidden/>
    <w:unhideWhenUsed/>
    <w:rsid w:val="00FA22CD"/>
    <w:rPr>
      <w:sz w:val="16"/>
      <w:szCs w:val="16"/>
    </w:rPr>
  </w:style>
  <w:style w:type="paragraph" w:styleId="CommentText">
    <w:name w:val="annotation text"/>
    <w:basedOn w:val="Normal"/>
    <w:link w:val="CommentTextChar"/>
    <w:uiPriority w:val="99"/>
    <w:semiHidden/>
    <w:unhideWhenUsed/>
    <w:rsid w:val="00FA22CD"/>
    <w:pPr>
      <w:spacing w:line="240" w:lineRule="auto"/>
    </w:pPr>
    <w:rPr>
      <w:sz w:val="20"/>
      <w:szCs w:val="20"/>
    </w:rPr>
  </w:style>
  <w:style w:type="character" w:customStyle="1" w:styleId="CommentTextChar">
    <w:name w:val="Comment Text Char"/>
    <w:basedOn w:val="DefaultParagraphFont"/>
    <w:link w:val="CommentText"/>
    <w:uiPriority w:val="99"/>
    <w:semiHidden/>
    <w:rsid w:val="00FA22CD"/>
    <w:rPr>
      <w:sz w:val="20"/>
      <w:szCs w:val="20"/>
    </w:rPr>
  </w:style>
  <w:style w:type="paragraph" w:styleId="CommentSubject">
    <w:name w:val="annotation subject"/>
    <w:basedOn w:val="CommentText"/>
    <w:next w:val="CommentText"/>
    <w:link w:val="CommentSubjectChar"/>
    <w:uiPriority w:val="99"/>
    <w:semiHidden/>
    <w:unhideWhenUsed/>
    <w:rsid w:val="00FA22CD"/>
    <w:rPr>
      <w:b/>
      <w:bCs/>
    </w:rPr>
  </w:style>
  <w:style w:type="character" w:customStyle="1" w:styleId="CommentSubjectChar">
    <w:name w:val="Comment Subject Char"/>
    <w:basedOn w:val="CommentTextChar"/>
    <w:link w:val="CommentSubject"/>
    <w:uiPriority w:val="99"/>
    <w:semiHidden/>
    <w:rsid w:val="00FA22CD"/>
    <w:rPr>
      <w:b/>
      <w:bCs/>
      <w:sz w:val="20"/>
      <w:szCs w:val="20"/>
    </w:rPr>
  </w:style>
  <w:style w:type="paragraph" w:styleId="BalloonText">
    <w:name w:val="Balloon Text"/>
    <w:basedOn w:val="Normal"/>
    <w:link w:val="BalloonTextChar"/>
    <w:uiPriority w:val="99"/>
    <w:semiHidden/>
    <w:unhideWhenUsed/>
    <w:rsid w:val="00FA22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22CD"/>
    <w:rPr>
      <w:rFonts w:ascii="Tahoma" w:hAnsi="Tahoma" w:cs="Tahoma"/>
      <w:sz w:val="16"/>
      <w:szCs w:val="16"/>
    </w:rPr>
  </w:style>
  <w:style w:type="character" w:customStyle="1" w:styleId="Heading1Char">
    <w:name w:val="Heading 1 Char"/>
    <w:basedOn w:val="DefaultParagraphFont"/>
    <w:link w:val="Heading1"/>
    <w:uiPriority w:val="9"/>
    <w:rsid w:val="00DE04F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E04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4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4D00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D0007"/>
    <w:rPr>
      <w:rFonts w:asciiTheme="majorHAnsi" w:eastAsiaTheme="majorEastAsia" w:hAnsiTheme="majorHAnsi" w:cstheme="majorBidi"/>
      <w:color w:val="17365D" w:themeColor="text2" w:themeShade="BF"/>
      <w:spacing w:val="5"/>
      <w:kern w:val="28"/>
      <w:sz w:val="52"/>
      <w:szCs w:val="52"/>
    </w:rPr>
  </w:style>
  <w:style w:type="table" w:styleId="LightShading-Accent1">
    <w:name w:val="Light Shading Accent 1"/>
    <w:basedOn w:val="TableNormal"/>
    <w:uiPriority w:val="60"/>
    <w:rsid w:val="00070A8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070A8C"/>
    <w:pPr>
      <w:ind w:left="720"/>
      <w:contextualSpacing/>
    </w:pPr>
  </w:style>
  <w:style w:type="character" w:styleId="CommentReference">
    <w:name w:val="annotation reference"/>
    <w:basedOn w:val="DefaultParagraphFont"/>
    <w:uiPriority w:val="99"/>
    <w:semiHidden/>
    <w:unhideWhenUsed/>
    <w:rsid w:val="00FA22CD"/>
    <w:rPr>
      <w:sz w:val="16"/>
      <w:szCs w:val="16"/>
    </w:rPr>
  </w:style>
  <w:style w:type="paragraph" w:styleId="CommentText">
    <w:name w:val="annotation text"/>
    <w:basedOn w:val="Normal"/>
    <w:link w:val="CommentTextChar"/>
    <w:uiPriority w:val="99"/>
    <w:semiHidden/>
    <w:unhideWhenUsed/>
    <w:rsid w:val="00FA22CD"/>
    <w:pPr>
      <w:spacing w:line="240" w:lineRule="auto"/>
    </w:pPr>
    <w:rPr>
      <w:sz w:val="20"/>
      <w:szCs w:val="20"/>
    </w:rPr>
  </w:style>
  <w:style w:type="character" w:customStyle="1" w:styleId="CommentTextChar">
    <w:name w:val="Comment Text Char"/>
    <w:basedOn w:val="DefaultParagraphFont"/>
    <w:link w:val="CommentText"/>
    <w:uiPriority w:val="99"/>
    <w:semiHidden/>
    <w:rsid w:val="00FA22CD"/>
    <w:rPr>
      <w:sz w:val="20"/>
      <w:szCs w:val="20"/>
    </w:rPr>
  </w:style>
  <w:style w:type="paragraph" w:styleId="CommentSubject">
    <w:name w:val="annotation subject"/>
    <w:basedOn w:val="CommentText"/>
    <w:next w:val="CommentText"/>
    <w:link w:val="CommentSubjectChar"/>
    <w:uiPriority w:val="99"/>
    <w:semiHidden/>
    <w:unhideWhenUsed/>
    <w:rsid w:val="00FA22CD"/>
    <w:rPr>
      <w:b/>
      <w:bCs/>
    </w:rPr>
  </w:style>
  <w:style w:type="character" w:customStyle="1" w:styleId="CommentSubjectChar">
    <w:name w:val="Comment Subject Char"/>
    <w:basedOn w:val="CommentTextChar"/>
    <w:link w:val="CommentSubject"/>
    <w:uiPriority w:val="99"/>
    <w:semiHidden/>
    <w:rsid w:val="00FA22CD"/>
    <w:rPr>
      <w:b/>
      <w:bCs/>
      <w:sz w:val="20"/>
      <w:szCs w:val="20"/>
    </w:rPr>
  </w:style>
  <w:style w:type="paragraph" w:styleId="BalloonText">
    <w:name w:val="Balloon Text"/>
    <w:basedOn w:val="Normal"/>
    <w:link w:val="BalloonTextChar"/>
    <w:uiPriority w:val="99"/>
    <w:semiHidden/>
    <w:unhideWhenUsed/>
    <w:rsid w:val="00FA22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22CD"/>
    <w:rPr>
      <w:rFonts w:ascii="Tahoma" w:hAnsi="Tahoma" w:cs="Tahoma"/>
      <w:sz w:val="16"/>
      <w:szCs w:val="16"/>
    </w:rPr>
  </w:style>
  <w:style w:type="character" w:customStyle="1" w:styleId="Heading1Char">
    <w:name w:val="Heading 1 Char"/>
    <w:basedOn w:val="DefaultParagraphFont"/>
    <w:link w:val="Heading1"/>
    <w:uiPriority w:val="9"/>
    <w:rsid w:val="00DE04F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64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5B85F-6014-4C9F-B7D4-8DD59E833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442</Words>
  <Characters>2523</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2960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Subarna Mathes</dc:creator>
  <cp:lastModifiedBy>Daphne Panayotatos</cp:lastModifiedBy>
  <cp:revision>2</cp:revision>
  <dcterms:created xsi:type="dcterms:W3CDTF">2015-11-04T16:58:00Z</dcterms:created>
  <dcterms:modified xsi:type="dcterms:W3CDTF">2015-11-04T16:58:00Z</dcterms:modified>
</cp:coreProperties>
</file>